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5A" w:rsidRPr="00CC496E" w:rsidRDefault="00565C5A" w:rsidP="00565C5A">
      <w:pPr>
        <w:ind w:left="285" w:firstLine="708"/>
        <w:rPr>
          <w:b/>
          <w:u w:val="single"/>
        </w:rPr>
      </w:pPr>
      <w:r w:rsidRPr="00CC496E">
        <w:rPr>
          <w:b/>
          <w:u w:val="single"/>
        </w:rPr>
        <w:t>Opis przedmiotu zamówienia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Przedmiot zamówienia:  </w:t>
      </w:r>
      <w:r w:rsidRPr="00CC496E">
        <w:rPr>
          <w:i/>
          <w:color w:val="000000"/>
        </w:rPr>
        <w:t>fabrycznie nowy</w:t>
      </w:r>
      <w:r>
        <w:rPr>
          <w:i/>
          <w:color w:val="000000"/>
        </w:rPr>
        <w:t>, rok produkcji</w:t>
      </w:r>
      <w:r>
        <w:rPr>
          <w:color w:val="000000"/>
        </w:rPr>
        <w:t xml:space="preserve"> 2014-2015.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Roz</w:t>
      </w:r>
      <w:r>
        <w:rPr>
          <w:color w:val="000000"/>
        </w:rPr>
        <w:t>ściełacz</w:t>
      </w:r>
      <w:r w:rsidRPr="00CC496E">
        <w:rPr>
          <w:color w:val="000000"/>
        </w:rPr>
        <w:t xml:space="preserve">:  </w:t>
      </w:r>
      <w:r>
        <w:rPr>
          <w:i/>
          <w:color w:val="000000"/>
        </w:rPr>
        <w:t>gąsienicowy</w:t>
      </w:r>
      <w:r w:rsidRPr="00CC496E">
        <w:rPr>
          <w:i/>
          <w:color w:val="000000"/>
        </w:rPr>
        <w:t xml:space="preserve"> 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Wydajność układania: </w:t>
      </w:r>
      <w:r w:rsidRPr="00CC496E">
        <w:rPr>
          <w:i/>
          <w:color w:val="000000"/>
        </w:rPr>
        <w:t>w przedziale  600 - 700 t/h</w:t>
      </w:r>
      <w:r w:rsidRPr="00CC496E">
        <w:rPr>
          <w:color w:val="000000"/>
        </w:rPr>
        <w:t>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Sterowanie komputerowe: </w:t>
      </w:r>
      <w:r w:rsidRPr="00CC496E">
        <w:rPr>
          <w:i/>
          <w:color w:val="000000"/>
        </w:rPr>
        <w:t>wszystkich funkcji w maszynie.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b/>
          <w:color w:val="000000"/>
          <w:u w:val="single"/>
        </w:rPr>
        <w:t>Silnik:</w:t>
      </w:r>
    </w:p>
    <w:p w:rsidR="00565C5A" w:rsidRPr="00656F0B" w:rsidRDefault="00565C5A" w:rsidP="00565C5A">
      <w:pPr>
        <w:pStyle w:val="HTML-wstpniesformatowany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656F0B">
        <w:rPr>
          <w:rFonts w:ascii="Times New Roman" w:hAnsi="Times New Roman" w:cs="Times New Roman"/>
          <w:color w:val="000000"/>
          <w:sz w:val="24"/>
          <w:szCs w:val="24"/>
        </w:rPr>
        <w:t>Silnik wysokoprężny  o mocy nie mniej jak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56F0B">
        <w:rPr>
          <w:rFonts w:ascii="Times New Roman" w:hAnsi="Times New Roman" w:cs="Times New Roman"/>
          <w:color w:val="000000"/>
          <w:sz w:val="24"/>
          <w:szCs w:val="24"/>
        </w:rPr>
        <w:t>0 kW  (m</w:t>
      </w:r>
      <w:r>
        <w:rPr>
          <w:rFonts w:ascii="Times New Roman" w:hAnsi="Times New Roman" w:cs="Times New Roman"/>
          <w:color w:val="000000"/>
          <w:sz w:val="24"/>
          <w:szCs w:val="24"/>
        </w:rPr>
        <w:t>usi</w:t>
      </w:r>
      <w:r w:rsidRPr="00656F0B">
        <w:rPr>
          <w:rFonts w:ascii="Times New Roman" w:hAnsi="Times New Roman" w:cs="Times New Roman"/>
          <w:color w:val="000000"/>
          <w:sz w:val="24"/>
          <w:szCs w:val="24"/>
        </w:rPr>
        <w:t xml:space="preserve"> spełniać aktualne wymogi obowiązujących norm emisji spalin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EU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IV lub</w:t>
      </w:r>
      <w:r w:rsidRPr="00656F0B">
        <w:rPr>
          <w:rFonts w:ascii="Times New Roman" w:hAnsi="Times New Roman" w:cs="Times New Roman"/>
          <w:color w:val="000000"/>
          <w:sz w:val="24"/>
          <w:szCs w:val="24"/>
        </w:rPr>
        <w:t xml:space="preserve">  EU </w:t>
      </w:r>
      <w:proofErr w:type="spellStart"/>
      <w:r w:rsidRPr="00656F0B">
        <w:rPr>
          <w:rFonts w:ascii="Times New Roman" w:hAnsi="Times New Roman" w:cs="Times New Roman"/>
          <w:color w:val="000000"/>
          <w:sz w:val="24"/>
          <w:szCs w:val="24"/>
        </w:rPr>
        <w:t>Stage</w:t>
      </w:r>
      <w:proofErr w:type="spellEnd"/>
      <w:r w:rsidRPr="00656F0B">
        <w:rPr>
          <w:rFonts w:ascii="Times New Roman" w:hAnsi="Times New Roman" w:cs="Times New Roman"/>
          <w:color w:val="000000"/>
          <w:sz w:val="24"/>
          <w:szCs w:val="24"/>
        </w:rPr>
        <w:t xml:space="preserve"> 3B)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b/>
          <w:color w:val="000000"/>
          <w:u w:val="single"/>
        </w:rPr>
        <w:t>Napęd: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Elektroniczny układ sterowania napędem,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Bezobsługowe rolki jezdne,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Automatyczny  układ naciągu gąsienic,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Wzmocnione odkuwane ogniwa łańcucha gąsienicy.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b/>
          <w:color w:val="000000"/>
          <w:u w:val="single"/>
        </w:rPr>
        <w:t>Podawanie materiału: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Cztery niezależne napędy hydrostatyczne podajników zgrzebłowych i ślimakowych,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Hydrauliczna regulacja wysokości podajników ślimakowych,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Dwukierunkowe obroty podajników ślimakowych,</w:t>
      </w:r>
    </w:p>
    <w:p w:rsidR="00565C5A" w:rsidRPr="00CC496E" w:rsidRDefault="00565C5A" w:rsidP="00565C5A">
      <w:pPr>
        <w:ind w:left="993"/>
        <w:rPr>
          <w:color w:val="000000"/>
        </w:rPr>
      </w:pPr>
      <w:r>
        <w:rPr>
          <w:color w:val="000000"/>
        </w:rPr>
        <w:t>R</w:t>
      </w:r>
      <w:r w:rsidRPr="00CC496E">
        <w:rPr>
          <w:color w:val="000000"/>
        </w:rPr>
        <w:t>olki odbojowe o średnicy</w:t>
      </w:r>
      <w:r>
        <w:rPr>
          <w:color w:val="000000"/>
        </w:rPr>
        <w:t xml:space="preserve"> </w:t>
      </w:r>
      <w:r w:rsidRPr="00CC496E">
        <w:rPr>
          <w:color w:val="000000"/>
        </w:rPr>
        <w:t xml:space="preserve"> min. 110mm,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Układ sterowania prędkością podajników ślimakowych z funkcją włączania /wyłączania,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>System centralnego smarowania,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>Niezależne sterowanie burtami kosza zasypowego,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 xml:space="preserve">Hydraulicznie sterowana ścianka przednia kosza zasypowego, 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>Dwukierunkowe sterowanie podajnikami taśmowymi.</w:t>
      </w:r>
    </w:p>
    <w:p w:rsidR="00565C5A" w:rsidRPr="00CC496E" w:rsidRDefault="00565C5A" w:rsidP="00565C5A">
      <w:pPr>
        <w:ind w:left="993"/>
        <w:rPr>
          <w:b/>
          <w:color w:val="000000" w:themeColor="text1"/>
          <w:u w:val="single"/>
        </w:rPr>
      </w:pPr>
      <w:r w:rsidRPr="00CC496E">
        <w:rPr>
          <w:b/>
          <w:color w:val="000000" w:themeColor="text1"/>
          <w:u w:val="single"/>
        </w:rPr>
        <w:t>Elektronika:</w:t>
      </w:r>
    </w:p>
    <w:p w:rsidR="00565C5A" w:rsidRPr="00CC496E" w:rsidRDefault="00565C5A" w:rsidP="00565C5A">
      <w:pPr>
        <w:ind w:left="993"/>
        <w:rPr>
          <w:strike/>
          <w:color w:val="000000" w:themeColor="text1"/>
        </w:rPr>
      </w:pPr>
      <w:r w:rsidRPr="00CC496E">
        <w:rPr>
          <w:color w:val="000000" w:themeColor="text1"/>
        </w:rPr>
        <w:t>Tryb pracy ECO,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Elektroniczny układ sterowania rozściełaniem,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Funkcja zarządzania ustawieniami,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Regulowana i obrotowa jednostka sterująca,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Szafka elektryczna </w:t>
      </w:r>
      <w:r w:rsidRPr="00CC496E">
        <w:rPr>
          <w:color w:val="000000" w:themeColor="text1"/>
        </w:rPr>
        <w:t>umiejscowiona w platformie operatora,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Odłącznik akumulatora,</w:t>
      </w:r>
    </w:p>
    <w:p w:rsidR="00565C5A" w:rsidRPr="00CC496E" w:rsidRDefault="00565C5A" w:rsidP="00565C5A">
      <w:pPr>
        <w:ind w:left="993"/>
        <w:rPr>
          <w:color w:val="FF0000"/>
        </w:rPr>
      </w:pPr>
      <w:r w:rsidRPr="00CC496E">
        <w:rPr>
          <w:color w:val="000000"/>
        </w:rPr>
        <w:t xml:space="preserve">Dwa zewnętrzne pulpity sterownicze stołu </w:t>
      </w:r>
      <w:r w:rsidRPr="00CC496E">
        <w:rPr>
          <w:color w:val="000000" w:themeColor="text1"/>
        </w:rPr>
        <w:t>zintegrowane z pilotami niwelacji,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>Układ niwelacji z 2 czujnikami wysokości (1 ultradźwięki + 1 mechaniczny) oraz z elektroniczną wagą poprzeczną.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b/>
          <w:color w:val="000000"/>
          <w:u w:val="single"/>
        </w:rPr>
        <w:t xml:space="preserve"> Stół: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Hydraulicznie rozsuwany od 2,5</w:t>
      </w:r>
      <w:r w:rsidRPr="00CC496E">
        <w:rPr>
          <w:color w:val="000000" w:themeColor="text1"/>
        </w:rPr>
        <w:t xml:space="preserve">5m </w:t>
      </w:r>
      <w:r>
        <w:rPr>
          <w:color w:val="000000"/>
        </w:rPr>
        <w:t xml:space="preserve">- 5,0m z rozbudową </w:t>
      </w:r>
      <w:r w:rsidRPr="00CC496E">
        <w:rPr>
          <w:color w:val="000000"/>
        </w:rPr>
        <w:t xml:space="preserve"> do 6,50m </w:t>
      </w:r>
      <w:r>
        <w:rPr>
          <w:color w:val="000000"/>
        </w:rPr>
        <w:br/>
      </w:r>
      <w:r w:rsidRPr="00CC496E">
        <w:rPr>
          <w:color w:val="000000"/>
        </w:rPr>
        <w:t>(</w:t>
      </w:r>
      <w:r>
        <w:rPr>
          <w:color w:val="000000"/>
        </w:rPr>
        <w:t xml:space="preserve"> poszerzenia </w:t>
      </w:r>
      <w:r w:rsidRPr="00CC496E">
        <w:rPr>
          <w:color w:val="000000"/>
        </w:rPr>
        <w:t>2x0,75m),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Przedłużenia ślimaków i blachy kanałowe,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Ogrzewany elektrycznie poprzez </w:t>
      </w:r>
      <w:r w:rsidRPr="00CC496E">
        <w:rPr>
          <w:color w:val="000000" w:themeColor="text1"/>
        </w:rPr>
        <w:t>generator napędzany bezpośrednio z przekładni różnicowej pomp,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Poszerzenia mechaniczne montowane na szybkozłączach hydraulicznych,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Hydrauliczne łamanie profilu stołu,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Blokada stołu hydrauliczna,</w:t>
      </w:r>
    </w:p>
    <w:p w:rsidR="00565C5A" w:rsidRPr="00CC496E" w:rsidRDefault="00565C5A" w:rsidP="00565C5A">
      <w:pPr>
        <w:ind w:left="993"/>
        <w:rPr>
          <w:color w:val="4F81BD"/>
        </w:rPr>
      </w:pPr>
      <w:r w:rsidRPr="00CC496E">
        <w:rPr>
          <w:color w:val="000000"/>
        </w:rPr>
        <w:t xml:space="preserve">Ramiona stołu, wersja stała, 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Układ hydrauliczny stołu </w:t>
      </w:r>
      <w:r w:rsidRPr="00CC496E">
        <w:rPr>
          <w:color w:val="000000" w:themeColor="text1"/>
        </w:rPr>
        <w:t xml:space="preserve">zasilający </w:t>
      </w:r>
      <w:proofErr w:type="spellStart"/>
      <w:r w:rsidRPr="00CC496E">
        <w:rPr>
          <w:color w:val="000000" w:themeColor="text1"/>
        </w:rPr>
        <w:t>tampery</w:t>
      </w:r>
      <w:proofErr w:type="spellEnd"/>
      <w:r w:rsidRPr="00CC496E">
        <w:rPr>
          <w:color w:val="000000" w:themeColor="text1"/>
        </w:rPr>
        <w:t xml:space="preserve"> oraz płyty wibracyjne,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Hydrauliczna regulacja wysokości ślimaka,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Czujniki ultradźwiękowe kontroli ilości materiału przed stołem,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Centralne smarowanie podajnika zgrzebłowego i ślimakowego,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>Układ usztywnienia stołu,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lastRenderedPageBreak/>
        <w:t>Układ docisku stołu,</w:t>
      </w:r>
      <w:r w:rsidRPr="00CC496E">
        <w:rPr>
          <w:color w:val="000000" w:themeColor="text1"/>
        </w:rPr>
        <w:tab/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 xml:space="preserve">Blokada zapobiegająca wypiętrzaniu stołu,  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b/>
          <w:color w:val="000000"/>
          <w:u w:val="single"/>
        </w:rPr>
        <w:t>Środowisko: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Izolacja dźwiękochłonna,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b/>
          <w:color w:val="000000"/>
          <w:u w:val="single"/>
        </w:rPr>
        <w:t>Światła: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Światła</w:t>
      </w:r>
      <w:r>
        <w:rPr>
          <w:color w:val="000000"/>
        </w:rPr>
        <w:t xml:space="preserve"> </w:t>
      </w:r>
      <w:r w:rsidRPr="00CC496E">
        <w:rPr>
          <w:color w:val="000000"/>
        </w:rPr>
        <w:t xml:space="preserve"> robocze wbudowane w konstrukcję dachu,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Oświetlenie przedziału operatora,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>Obrotowe światło ostrzegawcze,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color w:val="000000" w:themeColor="text1"/>
        </w:rPr>
        <w:t>Sygnał cofania.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b/>
          <w:color w:val="000000"/>
          <w:u w:val="single"/>
        </w:rPr>
        <w:t>Konstrukcja:</w:t>
      </w:r>
    </w:p>
    <w:p w:rsidR="00565C5A" w:rsidRPr="00CC496E" w:rsidRDefault="00565C5A" w:rsidP="00565C5A">
      <w:pPr>
        <w:ind w:left="993"/>
        <w:rPr>
          <w:color w:val="000000" w:themeColor="text1"/>
        </w:rPr>
      </w:pPr>
      <w:r w:rsidRPr="00CC496E">
        <w:rPr>
          <w:color w:val="000000" w:themeColor="text1"/>
        </w:rPr>
        <w:t>Sztywny dach ochronny z hydraulicznym systemem składania sterowany ręcznie,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Dwa fotele z funkcją wysuwu bocznego, </w:t>
      </w:r>
      <w:r w:rsidRPr="00CC496E">
        <w:rPr>
          <w:color w:val="000000" w:themeColor="text1"/>
        </w:rPr>
        <w:t>oraz obrotu,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Zestaw zabezpieczający przed wandalizmem.</w:t>
      </w:r>
    </w:p>
    <w:p w:rsidR="00565C5A" w:rsidRPr="00CC496E" w:rsidRDefault="00565C5A" w:rsidP="00565C5A">
      <w:pPr>
        <w:ind w:left="993"/>
        <w:rPr>
          <w:b/>
          <w:color w:val="000000"/>
          <w:u w:val="single"/>
        </w:rPr>
      </w:pPr>
      <w:r w:rsidRPr="00CC496E">
        <w:rPr>
          <w:b/>
          <w:color w:val="000000"/>
          <w:u w:val="single"/>
        </w:rPr>
        <w:t>Warunki dodatkowe: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 Szkolenie operatorów  w siedzibie Zamawiającego.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 Dostawa na teren bazy w Wołominie przy ul. </w:t>
      </w:r>
      <w:proofErr w:type="spellStart"/>
      <w:r w:rsidRPr="00CC496E">
        <w:rPr>
          <w:color w:val="000000"/>
        </w:rPr>
        <w:t>Kobyłkowskiej</w:t>
      </w:r>
      <w:proofErr w:type="spellEnd"/>
      <w:r w:rsidRPr="00CC496E">
        <w:rPr>
          <w:color w:val="000000"/>
        </w:rPr>
        <w:t xml:space="preserve"> 1A, 05-200 Wołomin w   terminie nie  dłuższym niż </w:t>
      </w:r>
      <w:r>
        <w:rPr>
          <w:color w:val="000000"/>
        </w:rPr>
        <w:t>60 dni od daty podpisania umowy, nie później niż do 23 12 2015r.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Okres gwarancji minimum 12 miesięcy lub </w:t>
      </w:r>
      <w:r>
        <w:rPr>
          <w:color w:val="000000"/>
        </w:rPr>
        <w:t xml:space="preserve">co najmniej </w:t>
      </w:r>
      <w:r w:rsidRPr="00CC496E">
        <w:rPr>
          <w:color w:val="000000"/>
        </w:rPr>
        <w:t xml:space="preserve">1000 </w:t>
      </w:r>
      <w:proofErr w:type="spellStart"/>
      <w:r w:rsidRPr="00CC496E">
        <w:rPr>
          <w:color w:val="000000"/>
        </w:rPr>
        <w:t>Mtg</w:t>
      </w:r>
      <w:proofErr w:type="spellEnd"/>
      <w:r>
        <w:rPr>
          <w:color w:val="000000"/>
        </w:rPr>
        <w:t>. (licząc od daty zakupu sprzętu)</w:t>
      </w:r>
      <w:r w:rsidRPr="00656F0B">
        <w:rPr>
          <w:color w:val="000000"/>
        </w:rPr>
        <w:t>.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W okresie gwarancyjnym bezpłatne usunięcia usterek ( w tym także dojazd </w:t>
      </w:r>
      <w:r>
        <w:rPr>
          <w:color w:val="000000"/>
        </w:rPr>
        <w:t xml:space="preserve">  </w:t>
      </w:r>
      <w:r w:rsidRPr="00CC496E">
        <w:rPr>
          <w:color w:val="000000"/>
        </w:rPr>
        <w:t>serwisantów ).</w:t>
      </w:r>
    </w:p>
    <w:p w:rsidR="00565C5A" w:rsidRPr="00CC496E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 xml:space="preserve">Czas zweryfikowania usterki w ciągu 24 godz. od </w:t>
      </w:r>
      <w:r>
        <w:rPr>
          <w:color w:val="000000"/>
        </w:rPr>
        <w:t xml:space="preserve">zgłoszenia przez zamawiającego, </w:t>
      </w:r>
      <w:r w:rsidRPr="00CC496E">
        <w:rPr>
          <w:color w:val="000000"/>
        </w:rPr>
        <w:t xml:space="preserve"> a czas  naprawy 72 godz. od zweryfikowania (  licząc w dniach  kalendarzowych). </w:t>
      </w:r>
    </w:p>
    <w:p w:rsidR="00565C5A" w:rsidRPr="00337835" w:rsidRDefault="00565C5A" w:rsidP="00565C5A">
      <w:pPr>
        <w:ind w:left="993"/>
        <w:rPr>
          <w:color w:val="000000"/>
        </w:rPr>
      </w:pPr>
      <w:r w:rsidRPr="00CC496E">
        <w:rPr>
          <w:color w:val="000000"/>
        </w:rPr>
        <w:t>Instrukcja obsługi i katalog części zamiennych w języku polskim oraz w wersji elektronicznej.</w:t>
      </w:r>
    </w:p>
    <w:p w:rsidR="00CC355E" w:rsidRDefault="00CC355E">
      <w:bookmarkStart w:id="0" w:name="_GoBack"/>
      <w:bookmarkEnd w:id="0"/>
    </w:p>
    <w:sectPr w:rsidR="00CC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5A"/>
    <w:rsid w:val="00565C5A"/>
    <w:rsid w:val="00C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5C5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5C5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2015-10-05T11:18:00Z</dcterms:created>
  <dcterms:modified xsi:type="dcterms:W3CDTF">2015-10-05T11:19:00Z</dcterms:modified>
</cp:coreProperties>
</file>